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4D68" w14:textId="04270502" w:rsidR="00D83E31" w:rsidRPr="00F81B8C" w:rsidRDefault="00D83E31" w:rsidP="00D83E31">
      <w:pPr>
        <w:pStyle w:val="Ttulo1"/>
        <w:rPr>
          <w:color w:val="auto"/>
          <w:sz w:val="24"/>
          <w:szCs w:val="24"/>
        </w:rPr>
      </w:pPr>
      <w:r w:rsidRPr="00F81B8C">
        <w:rPr>
          <w:color w:val="auto"/>
          <w:sz w:val="24"/>
          <w:szCs w:val="24"/>
        </w:rPr>
        <w:t xml:space="preserve">MÍNIMOS Y CRITERIOS – </w:t>
      </w:r>
      <w:r w:rsidR="00F81B8C" w:rsidRPr="00F81B8C">
        <w:rPr>
          <w:color w:val="auto"/>
          <w:sz w:val="24"/>
          <w:szCs w:val="24"/>
        </w:rPr>
        <w:t xml:space="preserve">MATEMÁTICAS Y </w:t>
      </w:r>
      <w:r w:rsidRPr="00F81B8C">
        <w:rPr>
          <w:color w:val="auto"/>
          <w:sz w:val="24"/>
          <w:szCs w:val="24"/>
        </w:rPr>
        <w:t>CIENCIAS APLICADAS I</w:t>
      </w:r>
    </w:p>
    <w:p w14:paraId="1B1D6387" w14:textId="77777777" w:rsidR="00D83E31" w:rsidRPr="00D83E31" w:rsidRDefault="00D83E31" w:rsidP="00D83E31"/>
    <w:p w14:paraId="517FF63A" w14:textId="77777777" w:rsidR="00D83E31" w:rsidRDefault="00D83E31" w:rsidP="00D83E31">
      <w:pPr>
        <w:pStyle w:val="Ttulo1"/>
        <w:rPr>
          <w:color w:val="auto"/>
          <w:sz w:val="24"/>
        </w:rPr>
      </w:pPr>
      <w:r w:rsidRPr="00D83E31">
        <w:rPr>
          <w:color w:val="auto"/>
          <w:sz w:val="24"/>
        </w:rPr>
        <w:t>Contenidos mínimos exigibles para una ev</w:t>
      </w:r>
      <w:r>
        <w:rPr>
          <w:color w:val="auto"/>
          <w:sz w:val="24"/>
        </w:rPr>
        <w:t>aluación positiva de la materia:</w:t>
      </w:r>
    </w:p>
    <w:p w14:paraId="3515F426" w14:textId="77777777" w:rsidR="00D83E31" w:rsidRPr="00D83E31" w:rsidRDefault="00D83E31" w:rsidP="00D83E31"/>
    <w:p w14:paraId="264430EB" w14:textId="77777777" w:rsidR="00D83E31" w:rsidRDefault="00D83E31" w:rsidP="00D83E31">
      <w:r>
        <w:t>1. Determinar las características del trabajo científico a través del análisis de algunos problemas científicos o tecnológicos de actualidad.</w:t>
      </w:r>
    </w:p>
    <w:p w14:paraId="21157C6B" w14:textId="77777777" w:rsidR="00D83E31" w:rsidRDefault="00D83E31" w:rsidP="00D83E31">
      <w:r>
        <w:t>2. Describir las interrelaciones existentes en la actualidad entre sociedad, ciencia y tecnología.</w:t>
      </w:r>
    </w:p>
    <w:p w14:paraId="5052CE91" w14:textId="77777777" w:rsidR="00D83E31" w:rsidRDefault="00D83E31" w:rsidP="00D83E31">
      <w:r>
        <w:t>3. Utilizar los distintos tipos de números y operaciones, junto con sus propiedades, para recoger, transformar e intercambiar información y resolver problemas relacionados con la vida diaria.</w:t>
      </w:r>
    </w:p>
    <w:p w14:paraId="13CB6546" w14:textId="77777777" w:rsidR="00D83E31" w:rsidRDefault="00D83E31" w:rsidP="00D83E31">
      <w:r>
        <w:t>4. Leer, escribir y ordenar distintos tipos de números (naturales, enteros, fracciones y decimales hasta las centésimas) y realizar operaciones y cálculos numéricos sencillos mediante diferentes procedimientos.</w:t>
      </w:r>
    </w:p>
    <w:p w14:paraId="7CF8E4AD" w14:textId="77777777" w:rsidR="00D83E31" w:rsidRDefault="00D83E31" w:rsidP="00D83E31">
      <w:r>
        <w:t>5. Utilizar los números decimales, fraccionarios y los porcentajes sencillos, estableciendo equivalencias entre ellos, para interpretar intercambiar información en contextos de la vida cotidiana y laboral (cálculo de IVA, aumentos y disminuciones porcentuales, cálculo del porcentaje asociado a una variación porcentual, realización de presupuestos, realización de mezclas de sustancias, distribución de potenciales gastos e ingresos, etcétera).</w:t>
      </w:r>
    </w:p>
    <w:p w14:paraId="7369AE2A" w14:textId="77777777" w:rsidR="00D83E31" w:rsidRDefault="00D83E31" w:rsidP="00D83E31">
      <w:r>
        <w:t>6. Aplicar porcentajes y tasas a la resolución de problemas cotidianos y financieros (interés simple e interés compuesto), valorando la oportunidad de utilizar la hoja de cálculo en función de la cantidad y complejidad de los números.</w:t>
      </w:r>
    </w:p>
    <w:p w14:paraId="384B820F" w14:textId="77777777" w:rsidR="00D83E31" w:rsidRDefault="00D83E31" w:rsidP="00D83E31">
      <w:r>
        <w:t>7. Manejar instrumentos científicos sencillos y realizar correctamente experiencias de laboratorio, respetando las normas de seguridad y utilizando modelos gráficos para representar y comparar los resultados obtenidos.</w:t>
      </w:r>
    </w:p>
    <w:p w14:paraId="43C95C94" w14:textId="77777777" w:rsidR="00D83E31" w:rsidRDefault="00D83E31" w:rsidP="00D83E31">
      <w:r>
        <w:t>8. Utilizar instrumentos, fórmulas y técnicas apropiadas para obtener medidas directas e indirectas en situaciones reales.</w:t>
      </w:r>
    </w:p>
    <w:p w14:paraId="1EF17F85" w14:textId="77777777" w:rsidR="00D83E31" w:rsidRDefault="00D83E31" w:rsidP="00D83E31">
      <w:r>
        <w:t>9. Realizar correctamente cálculos sencillos que incluyan la utilización de las diferentes unidades del sistema internacional, y manejarlas diferentes unidades del sistema métrico decimal.</w:t>
      </w:r>
    </w:p>
    <w:p w14:paraId="31B5DE6B" w14:textId="77777777" w:rsidR="00D83E31" w:rsidRDefault="00D83E31" w:rsidP="00D83E31">
      <w:r>
        <w:t>10. Expresar con precisión medidas de longitud, superficie, masa, capacidad, volumen y tiempo.</w:t>
      </w:r>
    </w:p>
    <w:p w14:paraId="29228531" w14:textId="77777777" w:rsidR="00D83E31" w:rsidRDefault="00D83E31" w:rsidP="00D83E31">
      <w:r>
        <w:t>11. Manejo de instrumentos de medida sencillos: balanza, probeta, bureta, termómetro. Conocer y aplicar las medidas del S.I.</w:t>
      </w:r>
    </w:p>
    <w:p w14:paraId="2C5C65DE" w14:textId="77777777" w:rsidR="00D83E31" w:rsidRDefault="00D83E31" w:rsidP="00D83E31">
      <w:r>
        <w:t>12. Utilizar instrumentos, fórmulas y técnicas apropiadas para obtener medidas directas e indirectas en situaciones reales.</w:t>
      </w:r>
    </w:p>
    <w:p w14:paraId="6FBCD0E9" w14:textId="77777777" w:rsidR="00D83E31" w:rsidRDefault="00D83E31" w:rsidP="00D83E31">
      <w:r>
        <w:lastRenderedPageBreak/>
        <w:t>13.Establecer procedimientos para describir las propiedades de la materia que nos rodea, tales como la masa, el volumen, la densidad, los estados en los que se presentan y sus cambios.</w:t>
      </w:r>
    </w:p>
    <w:p w14:paraId="39A75DA0" w14:textId="77777777" w:rsidR="00D83E31" w:rsidRDefault="00D83E31" w:rsidP="00D83E31">
      <w:r>
        <w:t xml:space="preserve">14. Resolver problemas sencillos aplicando los conocimientos sobre el concepto de temperatura y su medida, el equilibrio y desequilibrio térmico, los efectos del calor sobre los cuerpos y su forma de propagación. </w:t>
      </w:r>
    </w:p>
    <w:p w14:paraId="64BF9B04" w14:textId="77777777" w:rsidR="00D83E31" w:rsidRDefault="00D83E31" w:rsidP="00D83E31">
      <w:r>
        <w:t>15. Describir las características de los estados sólido, líquido y gaseoso. Explicar en qué consisten los cambios de estado, empleando la teoría cinética.</w:t>
      </w:r>
    </w:p>
    <w:p w14:paraId="25AAC4C4" w14:textId="77777777" w:rsidR="00D83E31" w:rsidRDefault="00D83E31" w:rsidP="00D83E31">
      <w:r>
        <w:t>16. Diferenciar entre elementos, compuestos y mezclas, así como explicar los procedimientos químicos básicos para su estudio.</w:t>
      </w:r>
    </w:p>
    <w:p w14:paraId="234B64A7" w14:textId="77777777" w:rsidR="00D83E31" w:rsidRDefault="00D83E31" w:rsidP="00D83E31">
      <w:r>
        <w:t>17. Distinguir entre átomos y moléculas. Indicar las características de las partículas componentes de los átomos. Diferenciar los elementos.</w:t>
      </w:r>
    </w:p>
    <w:p w14:paraId="1E611F28" w14:textId="77777777" w:rsidR="00D83E31" w:rsidRDefault="00D83E31" w:rsidP="00D83E31">
      <w:r>
        <w:t>18. Formular y nombrar algunas sustancias importantes. Indicar sus propiedades.</w:t>
      </w:r>
    </w:p>
    <w:p w14:paraId="0EF4F5C2" w14:textId="77777777" w:rsidR="00D83E31" w:rsidRDefault="00D83E31" w:rsidP="00D83E31">
      <w:proofErr w:type="gramStart"/>
      <w:r>
        <w:t>19 .Describir</w:t>
      </w:r>
      <w:proofErr w:type="gramEnd"/>
      <w:r>
        <w:t xml:space="preserve"> las ventajas e inconvenientes de las diferentes fuentes de energía.</w:t>
      </w:r>
    </w:p>
    <w:p w14:paraId="6684DE1A" w14:textId="77777777" w:rsidR="00D83E31" w:rsidRDefault="00D83E31" w:rsidP="00D83E31">
      <w:r>
        <w:t>20. Diferenciar, analizar y valorar las diferentes fuentes de energía, renovables y no renovables.</w:t>
      </w:r>
    </w:p>
    <w:p w14:paraId="1249885B" w14:textId="77777777" w:rsidR="00D83E31" w:rsidRDefault="00D83E31" w:rsidP="00D83E31">
      <w:r>
        <w:t>21. Explicar cuáles son algunos de los principales problemas medioambientales de nuestra época y sus medidas preventivas.</w:t>
      </w:r>
    </w:p>
    <w:p w14:paraId="2A00B6AB" w14:textId="77777777" w:rsidR="00D83E31" w:rsidRDefault="00D83E31" w:rsidP="00D83E31">
      <w:r>
        <w:t>22. Enumerar medidas que contribuyan al ahorro colectivo e individual de la energía.</w:t>
      </w:r>
    </w:p>
    <w:p w14:paraId="786C8D04" w14:textId="77777777" w:rsidR="00D83E31" w:rsidRDefault="00D83E31" w:rsidP="00D83E31">
      <w:r>
        <w:t>23. Diferenciar los mecanismos que tienen que utilizar los seres pluricelulares para realizar sus funciones, distinguiendo entre nutrición autótrofa y heterótrofa, y entre reproducción animal y vegetal.</w:t>
      </w:r>
    </w:p>
    <w:p w14:paraId="776ADCEB" w14:textId="77777777" w:rsidR="00D83E31" w:rsidRDefault="00D83E31" w:rsidP="00D83E31">
      <w:r>
        <w:t>24. Interpretar dibujos esquemáticos o láminas con una célula eucariota animal y sus orgánulos.</w:t>
      </w:r>
    </w:p>
    <w:p w14:paraId="59AA16FC" w14:textId="77777777" w:rsidR="00D83E31" w:rsidRDefault="00D83E31" w:rsidP="00D83E31">
      <w:r>
        <w:t>25. Identificar en esquemas la posición de los aparatos y órganos que intervienen en la función de nutrición.</w:t>
      </w:r>
    </w:p>
    <w:p w14:paraId="6D40A5E0" w14:textId="77777777" w:rsidR="00D83E31" w:rsidRDefault="00D83E31" w:rsidP="00D83E31">
      <w:r>
        <w:t>26. Explicar, mediante ejemplos de alimentos en los que predominen determinados nutrientes, los procesos fundamentales que ocurren desde su ingestión hasta su llegada a la sangre.</w:t>
      </w:r>
    </w:p>
    <w:p w14:paraId="64286487" w14:textId="77777777" w:rsidR="00D83E31" w:rsidRDefault="00D83E31" w:rsidP="00D83E31">
      <w:r>
        <w:t>27. Explicar los procesos fundamentales de la digestión y asimilación de los alimentos, utilizando esquemas y representaciones gráficas, y justificar, a partir de ellos, los hábitos alimenticios saludables, independientes de prácticas consumistas inadecuadas.</w:t>
      </w:r>
    </w:p>
    <w:p w14:paraId="7CA58D72" w14:textId="77777777" w:rsidR="00D83E31" w:rsidRDefault="00D83E31" w:rsidP="00D83E31">
      <w:r>
        <w:t>28. Conocer las estructuras y el funcionamiento del aparato circulatorio, respiratorio y excretor.</w:t>
      </w:r>
    </w:p>
    <w:p w14:paraId="763038A9" w14:textId="77777777" w:rsidR="00D83E31" w:rsidRDefault="00D83E31" w:rsidP="00D83E31">
      <w:r>
        <w:t>29.  Confeccionar un esquema en el que se identifiquen y describan las enfermedades más comunes de cada uno de los cuatro aparatos.</w:t>
      </w:r>
    </w:p>
    <w:p w14:paraId="32FA9B1D" w14:textId="77777777" w:rsidR="00D83E31" w:rsidRDefault="00D83E31" w:rsidP="00D83E31">
      <w:r>
        <w:t>30. Interpretar una analítica de sangre y orina dadas.</w:t>
      </w:r>
    </w:p>
    <w:p w14:paraId="531D7AC8" w14:textId="77777777" w:rsidR="00D83E31" w:rsidRDefault="00D83E31" w:rsidP="00D83E31">
      <w:r>
        <w:t>31. Explicar la misión integradora del sistema nervioso y enumerar algunos factores que lo alteran.</w:t>
      </w:r>
    </w:p>
    <w:p w14:paraId="2CFC1CEE" w14:textId="77777777" w:rsidR="00D83E31" w:rsidRDefault="00D83E31" w:rsidP="00D83E31">
      <w:r>
        <w:t xml:space="preserve"> 32. Saber los distintos tipos de receptores, como actúan. Órganos de los sentidos.</w:t>
      </w:r>
    </w:p>
    <w:p w14:paraId="5EEE9ADE" w14:textId="77777777" w:rsidR="00D83E31" w:rsidRDefault="00D83E31" w:rsidP="00D83E31">
      <w:r>
        <w:t>33. Localizar los principales huesos y músculos que integran el aparato locomotor.</w:t>
      </w:r>
    </w:p>
    <w:p w14:paraId="02B830A3" w14:textId="77777777" w:rsidR="00D83E31" w:rsidRDefault="00D83E31" w:rsidP="00D83E31">
      <w:r>
        <w:lastRenderedPageBreak/>
        <w:t>34. Describir los aspectos básicos del aparato reproductor, diferenciando entre sexualidad y reproducción.</w:t>
      </w:r>
    </w:p>
    <w:p w14:paraId="6F2E8599" w14:textId="3135EF65" w:rsidR="00D83E31" w:rsidRDefault="00D83E31" w:rsidP="00D83E31">
      <w:r>
        <w:t>35. Conocer el funcionamiento de los métodos de control de natalidad y valorar el uso de métodos de prevención de enfermedades de transmisión sexual.</w:t>
      </w:r>
    </w:p>
    <w:p w14:paraId="66C83B1D" w14:textId="77777777" w:rsidR="00D83E31" w:rsidRDefault="00D83E31" w:rsidP="00D83E31">
      <w:r>
        <w:t xml:space="preserve"> 36. Citar las hormonas sexuales masculinas y femeninas y describir brevemente su función.</w:t>
      </w:r>
    </w:p>
    <w:p w14:paraId="2A90B41C" w14:textId="77777777" w:rsidR="00D83E31" w:rsidRDefault="00D83E31" w:rsidP="00D83E31">
      <w:r>
        <w:t xml:space="preserve"> 37. Describir los cambios que tienen lugar en el ciclo menstrual.</w:t>
      </w:r>
    </w:p>
    <w:p w14:paraId="0C5A5138" w14:textId="77777777" w:rsidR="00D83E31" w:rsidRDefault="00D83E31" w:rsidP="00D83E31">
      <w:r>
        <w:t xml:space="preserve"> 38. Describir la base fisiológica de los métodos de reproducción asistida</w:t>
      </w:r>
    </w:p>
    <w:p w14:paraId="7FEA89E9" w14:textId="77777777" w:rsidR="00D83E31" w:rsidRDefault="00D83E31" w:rsidP="00D83E31">
      <w:r>
        <w:t xml:space="preserve">39. Conocer los diversos tipos de enfermedades según la causa que la producen. </w:t>
      </w:r>
    </w:p>
    <w:p w14:paraId="63B9B52A" w14:textId="7D2DD4C6" w:rsidR="00D83E31" w:rsidRDefault="00D83E31" w:rsidP="00D83E31">
      <w:r>
        <w:t>40. Aplicar los conceptos y técnicas para resolver ejercicios de progresiones.</w:t>
      </w:r>
    </w:p>
    <w:p w14:paraId="66680078" w14:textId="62489D06" w:rsidR="00D83E31" w:rsidRDefault="00D83E31" w:rsidP="00D83E31">
      <w:r>
        <w:t>41. Utilizar el lenguaje algebraico para simbolizar, generalizar e incorporar el planteamiento y resolución de ecuaciones de primer grado como una herramienta más con la que abordar y resolver problemas.</w:t>
      </w:r>
    </w:p>
    <w:p w14:paraId="3EE6F13B" w14:textId="77777777" w:rsidR="00D83E31" w:rsidRDefault="00D83E31" w:rsidP="00D83E31">
      <w:r>
        <w:t>42. Resolver problemas de la vida cotidiana en los que se precise el planteamiento y resolución de ecuaciones de primer grado o de sistemas de ecuaciones lineales con dos incógnitas.</w:t>
      </w:r>
    </w:p>
    <w:p w14:paraId="3CC14504" w14:textId="77777777" w:rsidR="00D83E31" w:rsidRDefault="00D83E31" w:rsidP="00D83E31">
      <w:r>
        <w:t>43. Emplear Internet como medio activo de comunicación intergrupal y publicación de información.</w:t>
      </w:r>
    </w:p>
    <w:p w14:paraId="5D818976" w14:textId="77777777" w:rsidR="00D83E31" w:rsidRDefault="00D83E31" w:rsidP="00D83E31">
      <w:r>
        <w:t>44. Resolver ejercicios numéricos de circuitos sencillos. Saber calcular el consumo eléctrico en el ámbito doméstico.</w:t>
      </w:r>
    </w:p>
    <w:p w14:paraId="4D8359FE" w14:textId="77777777" w:rsidR="00D83E31" w:rsidRDefault="00D83E31" w:rsidP="00D83E31">
      <w:r>
        <w:t>45. Diseñar, simular y realizar montajes de circuitos eléctricos sencillos en corriente continua, empleando pilas, interruptores, etc.</w:t>
      </w:r>
    </w:p>
    <w:p w14:paraId="43205537" w14:textId="77777777" w:rsidR="00D83E31" w:rsidRDefault="00D83E31" w:rsidP="00D83E31"/>
    <w:p w14:paraId="4A72070E" w14:textId="77777777" w:rsidR="00D83E31" w:rsidRDefault="00D83E31" w:rsidP="00D83E31">
      <w:pPr>
        <w:rPr>
          <w:rFonts w:asciiTheme="majorHAnsi" w:eastAsiaTheme="majorEastAsia" w:hAnsiTheme="majorHAnsi" w:cstheme="majorBidi"/>
          <w:b/>
          <w:bCs/>
          <w:sz w:val="24"/>
          <w:szCs w:val="28"/>
        </w:rPr>
      </w:pPr>
      <w:r>
        <w:rPr>
          <w:rFonts w:asciiTheme="majorHAnsi" w:eastAsiaTheme="majorEastAsia" w:hAnsiTheme="majorHAnsi" w:cstheme="majorBidi"/>
          <w:b/>
          <w:bCs/>
          <w:sz w:val="24"/>
          <w:szCs w:val="28"/>
        </w:rPr>
        <w:t>Criterios</w:t>
      </w:r>
      <w:r w:rsidRPr="00D83E31">
        <w:rPr>
          <w:rFonts w:asciiTheme="majorHAnsi" w:eastAsiaTheme="majorEastAsia" w:hAnsiTheme="majorHAnsi" w:cstheme="majorBidi"/>
          <w:b/>
          <w:bCs/>
          <w:sz w:val="24"/>
          <w:szCs w:val="28"/>
        </w:rPr>
        <w:t xml:space="preserve"> de calificación</w:t>
      </w:r>
      <w:r>
        <w:rPr>
          <w:rFonts w:asciiTheme="majorHAnsi" w:eastAsiaTheme="majorEastAsia" w:hAnsiTheme="majorHAnsi" w:cstheme="majorBidi"/>
          <w:b/>
          <w:bCs/>
          <w:sz w:val="24"/>
          <w:szCs w:val="28"/>
        </w:rPr>
        <w:t>:</w:t>
      </w:r>
    </w:p>
    <w:p w14:paraId="13858964" w14:textId="77777777" w:rsidR="00D83E31" w:rsidRDefault="00D83E31" w:rsidP="00380CB7">
      <w:pPr>
        <w:jc w:val="both"/>
      </w:pPr>
      <w:r>
        <w:t xml:space="preserve">Para poder evaluar el proceso de aprendizaje es imprescindible la recogida de información sobre el progreso que se va produciendo en cuanto al conocimiento y aplicación de las ideas básicas de la ciencia, grado de comprensión y de expresión, capacidad de utilizar estrategias para la resolución de problemas, capacidad de utilizar fuentes de información, uso de instrumentos de laboratorio, etc. </w:t>
      </w:r>
    </w:p>
    <w:p w14:paraId="04F48AFD" w14:textId="77777777" w:rsidR="00D83E31" w:rsidRDefault="00D83E31" w:rsidP="00380CB7">
      <w:pPr>
        <w:jc w:val="both"/>
      </w:pPr>
      <w:r>
        <w:t>En la práctica, los instrumentos a utilizar para la valoración o calificación de los distintos aspectos a evaluar, serán:</w:t>
      </w:r>
    </w:p>
    <w:p w14:paraId="3484AE3A" w14:textId="5C4054B4" w:rsidR="00D83E31" w:rsidRDefault="00D83E31" w:rsidP="00380CB7">
      <w:pPr>
        <w:jc w:val="both"/>
      </w:pPr>
      <w:r>
        <w:t>1. Observación sistemática del grupo, así como de las actuaciones individuales, (nivel de participación, grado de implicación, aporte de ideas, esfuerzo, etc.) así como la actitud y esfuerzo individuales y como miembros de equipos de trabajo.</w:t>
      </w:r>
      <w:r w:rsidR="00EA4207">
        <w:t xml:space="preserve"> Se llevarán a cabo actividades con el ordenador (Kahoot, Quizizz</w:t>
      </w:r>
      <w:r w:rsidR="00AC35C2">
        <w:t>, ONMAT</w:t>
      </w:r>
      <w:r w:rsidR="00EA4207">
        <w:t>) así como actividades de trabajo cooperativo.</w:t>
      </w:r>
    </w:p>
    <w:p w14:paraId="611CC840" w14:textId="2A53D005" w:rsidR="00D83E31" w:rsidRDefault="00D83E31" w:rsidP="00380CB7">
      <w:pPr>
        <w:jc w:val="both"/>
      </w:pPr>
      <w:r>
        <w:t>2. Comprobación y exposición de documentos y materiales elaborados por el/la alumno/a</w:t>
      </w:r>
      <w:r w:rsidR="00EA4207">
        <w:t xml:space="preserve"> de forma individual o en grupos colaborativos</w:t>
      </w:r>
      <w:r>
        <w:t xml:space="preserve"> (cuaderno de clase, ejercicios individuales para trabajar en casa, resolución de fichas elaboradas por el profesor, búsqueda y organización de </w:t>
      </w:r>
      <w:proofErr w:type="gramStart"/>
      <w:r>
        <w:t>información,  realización</w:t>
      </w:r>
      <w:proofErr w:type="gramEnd"/>
      <w:r>
        <w:t xml:space="preserve"> de trabajos </w:t>
      </w:r>
      <w:proofErr w:type="gramStart"/>
      <w:r>
        <w:t>monográficos,  prácticas</w:t>
      </w:r>
      <w:proofErr w:type="gramEnd"/>
      <w:r w:rsidR="002B26E4">
        <w:t>, presentaciones,</w:t>
      </w:r>
      <w:r>
        <w:t xml:space="preserve"> etc.)</w:t>
      </w:r>
    </w:p>
    <w:p w14:paraId="283B2FA5" w14:textId="77777777" w:rsidR="00D83E31" w:rsidRDefault="00D83E31" w:rsidP="00380CB7">
      <w:pPr>
        <w:jc w:val="both"/>
      </w:pPr>
      <w:r>
        <w:lastRenderedPageBreak/>
        <w:t>3. Pruebas objetivas de conocimientos que versarán sobre la información facilitada, a realizar durante o tras el estudio de cada unidad didáctica.</w:t>
      </w:r>
    </w:p>
    <w:p w14:paraId="019F921B" w14:textId="77777777" w:rsidR="00D83E31" w:rsidRDefault="00D83E31" w:rsidP="00380CB7">
      <w:pPr>
        <w:jc w:val="both"/>
      </w:pPr>
    </w:p>
    <w:p w14:paraId="61B4BC05" w14:textId="6F6AD594" w:rsidR="00D83E31" w:rsidRDefault="00D83E31" w:rsidP="00380CB7">
      <w:pPr>
        <w:jc w:val="both"/>
      </w:pPr>
      <w:r>
        <w:t>Las calificaciones de los apartados anteriores darán como resultado la nota de cada evaluación, interviniendo cada uno de ellos en los siguientes porcentajes:</w:t>
      </w:r>
    </w:p>
    <w:p w14:paraId="6D9DFE15" w14:textId="77777777" w:rsidR="00D83E31" w:rsidRDefault="00D83E31" w:rsidP="00380CB7">
      <w:pPr>
        <w:jc w:val="both"/>
      </w:pPr>
    </w:p>
    <w:tbl>
      <w:tblPr>
        <w:tblStyle w:val="Tablaconcuadrcula"/>
        <w:tblW w:w="0" w:type="auto"/>
        <w:jc w:val="center"/>
        <w:tblLook w:val="04A0" w:firstRow="1" w:lastRow="0" w:firstColumn="1" w:lastColumn="0" w:noHBand="0" w:noVBand="1"/>
      </w:tblPr>
      <w:tblGrid>
        <w:gridCol w:w="1771"/>
        <w:gridCol w:w="1418"/>
      </w:tblGrid>
      <w:tr w:rsidR="00D83E31" w14:paraId="1A6C4321" w14:textId="77777777" w:rsidTr="00E6070A">
        <w:trPr>
          <w:jc w:val="center"/>
        </w:trPr>
        <w:tc>
          <w:tcPr>
            <w:tcW w:w="1771" w:type="dxa"/>
          </w:tcPr>
          <w:p w14:paraId="61295101" w14:textId="77777777" w:rsidR="00D83E31" w:rsidRPr="00D83E31" w:rsidRDefault="00D83E31" w:rsidP="00380CB7">
            <w:pPr>
              <w:jc w:val="both"/>
              <w:rPr>
                <w:sz w:val="22"/>
              </w:rPr>
            </w:pPr>
            <w:r w:rsidRPr="00D83E31">
              <w:rPr>
                <w:sz w:val="22"/>
              </w:rPr>
              <w:t>1</w:t>
            </w:r>
          </w:p>
        </w:tc>
        <w:tc>
          <w:tcPr>
            <w:tcW w:w="1418" w:type="dxa"/>
          </w:tcPr>
          <w:p w14:paraId="09158A6E" w14:textId="77777777" w:rsidR="00D83E31" w:rsidRPr="00D83E31" w:rsidRDefault="00D83E31" w:rsidP="00380CB7">
            <w:pPr>
              <w:jc w:val="both"/>
              <w:rPr>
                <w:sz w:val="22"/>
              </w:rPr>
            </w:pPr>
            <w:r w:rsidRPr="00D83E31">
              <w:rPr>
                <w:sz w:val="22"/>
              </w:rPr>
              <w:t>20%</w:t>
            </w:r>
          </w:p>
        </w:tc>
      </w:tr>
      <w:tr w:rsidR="00D83E31" w14:paraId="634A7C0F" w14:textId="77777777" w:rsidTr="00E6070A">
        <w:trPr>
          <w:jc w:val="center"/>
        </w:trPr>
        <w:tc>
          <w:tcPr>
            <w:tcW w:w="1771" w:type="dxa"/>
          </w:tcPr>
          <w:p w14:paraId="4658000F" w14:textId="77777777" w:rsidR="00D83E31" w:rsidRPr="00D83E31" w:rsidRDefault="00D83E31" w:rsidP="00380CB7">
            <w:pPr>
              <w:jc w:val="both"/>
              <w:rPr>
                <w:sz w:val="22"/>
              </w:rPr>
            </w:pPr>
            <w:r w:rsidRPr="00D83E31">
              <w:rPr>
                <w:sz w:val="22"/>
              </w:rPr>
              <w:t>2</w:t>
            </w:r>
          </w:p>
        </w:tc>
        <w:tc>
          <w:tcPr>
            <w:tcW w:w="1418" w:type="dxa"/>
          </w:tcPr>
          <w:p w14:paraId="39072CB2" w14:textId="0C2DB470" w:rsidR="00D83E31" w:rsidRPr="00D83E31" w:rsidRDefault="00416D77" w:rsidP="00380CB7">
            <w:pPr>
              <w:jc w:val="both"/>
              <w:rPr>
                <w:sz w:val="22"/>
              </w:rPr>
            </w:pPr>
            <w:r>
              <w:rPr>
                <w:sz w:val="22"/>
              </w:rPr>
              <w:t>3</w:t>
            </w:r>
            <w:r w:rsidR="00D83E31" w:rsidRPr="00D83E31">
              <w:rPr>
                <w:sz w:val="22"/>
              </w:rPr>
              <w:t>0%</w:t>
            </w:r>
          </w:p>
        </w:tc>
      </w:tr>
      <w:tr w:rsidR="00D83E31" w14:paraId="7D469EAE" w14:textId="77777777" w:rsidTr="00E6070A">
        <w:trPr>
          <w:jc w:val="center"/>
        </w:trPr>
        <w:tc>
          <w:tcPr>
            <w:tcW w:w="1771" w:type="dxa"/>
          </w:tcPr>
          <w:p w14:paraId="3B862BA8" w14:textId="77777777" w:rsidR="00D83E31" w:rsidRPr="00D83E31" w:rsidRDefault="00D83E31" w:rsidP="00380CB7">
            <w:pPr>
              <w:jc w:val="both"/>
              <w:rPr>
                <w:sz w:val="22"/>
              </w:rPr>
            </w:pPr>
            <w:r w:rsidRPr="00D83E31">
              <w:rPr>
                <w:sz w:val="22"/>
              </w:rPr>
              <w:t>3</w:t>
            </w:r>
          </w:p>
        </w:tc>
        <w:tc>
          <w:tcPr>
            <w:tcW w:w="1418" w:type="dxa"/>
          </w:tcPr>
          <w:p w14:paraId="2545AE90" w14:textId="6EC69F20" w:rsidR="00D83E31" w:rsidRPr="00D83E31" w:rsidRDefault="00416D77" w:rsidP="00380CB7">
            <w:pPr>
              <w:jc w:val="both"/>
              <w:rPr>
                <w:sz w:val="22"/>
              </w:rPr>
            </w:pPr>
            <w:r>
              <w:rPr>
                <w:sz w:val="22"/>
              </w:rPr>
              <w:t>5</w:t>
            </w:r>
            <w:r w:rsidR="00D83E31" w:rsidRPr="00D83E31">
              <w:rPr>
                <w:sz w:val="22"/>
              </w:rPr>
              <w:t>0%</w:t>
            </w:r>
          </w:p>
        </w:tc>
      </w:tr>
    </w:tbl>
    <w:p w14:paraId="19426749" w14:textId="77777777" w:rsidR="00D83E31" w:rsidRPr="00D83E31" w:rsidRDefault="00D83E31" w:rsidP="00380CB7">
      <w:pPr>
        <w:jc w:val="both"/>
      </w:pPr>
    </w:p>
    <w:p w14:paraId="2381088E" w14:textId="77777777" w:rsidR="00644A4C" w:rsidRDefault="00644A4C" w:rsidP="00380CB7">
      <w:pPr>
        <w:jc w:val="both"/>
      </w:pPr>
      <w:r>
        <w:t>Cada evaluación tendrá su correspondiente recuperación</w:t>
      </w:r>
    </w:p>
    <w:p w14:paraId="2831E96F" w14:textId="77777777" w:rsidR="00644A4C" w:rsidRDefault="00644A4C" w:rsidP="00380CB7">
      <w:pPr>
        <w:jc w:val="both"/>
      </w:pPr>
      <w:r>
        <w:t>La calificación final se corresponderá con la nota de la tercera evaluación.</w:t>
      </w:r>
    </w:p>
    <w:p w14:paraId="1DD5037E" w14:textId="77777777" w:rsidR="00644A4C" w:rsidRDefault="00644A4C" w:rsidP="00380CB7">
      <w:pPr>
        <w:jc w:val="both"/>
      </w:pPr>
      <w:r>
        <w:t>- Los alumnos que pierdan el derecho a la evaluación continua tendrán una prueba escrita de toda la materia cuya fecha de realización marcará Jefatura de Estudios.</w:t>
      </w:r>
    </w:p>
    <w:p w14:paraId="0FF3CD25" w14:textId="6671F8CC" w:rsidR="00644A4C" w:rsidRDefault="00644A4C" w:rsidP="00380CB7">
      <w:pPr>
        <w:jc w:val="both"/>
      </w:pPr>
      <w:r>
        <w:t>- Los alumnos podrán presentarse a una prueba escrita para subir nota.</w:t>
      </w:r>
    </w:p>
    <w:p w14:paraId="1711CC27" w14:textId="64EFB0D5" w:rsidR="00644A4C" w:rsidRDefault="00644A4C" w:rsidP="00380CB7">
      <w:pPr>
        <w:jc w:val="both"/>
      </w:pPr>
      <w:r>
        <w:t xml:space="preserve">- Los alumnos que sean evaluados negativamente al finalizar el curso realizarán una prueba escrita en mayo de toda la materia. Los alumnos que no superen la materia, realizarán un examen final extraordinario en junio y la calificación será la obtenida en dicha prueba escrita. Para superarla, la calificación deberá ser igual o superior a cinco. </w:t>
      </w:r>
    </w:p>
    <w:p w14:paraId="20D1A121" w14:textId="635A510D" w:rsidR="00644A4C" w:rsidRDefault="00644A4C" w:rsidP="00380CB7">
      <w:pPr>
        <w:jc w:val="both"/>
      </w:pPr>
      <w:r>
        <w:t>-Tanto la parte teórica (verificada con los controles y exámenes), como la parte práctica (entrega de trabajos encargados por el profesor, actividades y ejercicios de clase) deberán estar calificados positivamente (5</w:t>
      </w:r>
      <w:r w:rsidR="00276999">
        <w:t xml:space="preserve"> o</w:t>
      </w:r>
      <w:r>
        <w:t xml:space="preserve"> más) para realizar la nota media que dará lugar a la calificación de la materia correspondiente.</w:t>
      </w:r>
    </w:p>
    <w:p w14:paraId="251F21DE" w14:textId="033C45EA" w:rsidR="00644A4C" w:rsidRDefault="00644A4C" w:rsidP="00380CB7">
      <w:pPr>
        <w:jc w:val="both"/>
      </w:pPr>
      <w:r>
        <w:t xml:space="preserve">-Asimismo, se hallará la nota media </w:t>
      </w:r>
      <w:r w:rsidR="00EA4207">
        <w:t xml:space="preserve">ponderada </w:t>
      </w:r>
      <w:r>
        <w:t>entre las calificaciones obtenidas en las distintas áreas de contenido que comprenden el Módulo (Matemáticas</w:t>
      </w:r>
      <w:r w:rsidR="00EA4207">
        <w:t>: 4/7</w:t>
      </w:r>
      <w:r>
        <w:t>, Ciencias de la Naturaleza</w:t>
      </w:r>
      <w:r w:rsidR="00EA4207">
        <w:t>: 3/7</w:t>
      </w:r>
      <w:r>
        <w:t>) siempre que ambas alcancen o superen la calificación de suficiente (5). De lo contrario, el alumno deberá realizar una prueba de recuperación de la materia pendiente.</w:t>
      </w:r>
    </w:p>
    <w:p w14:paraId="366301F0" w14:textId="77777777" w:rsidR="00644A4C" w:rsidRDefault="00644A4C" w:rsidP="00380CB7">
      <w:pPr>
        <w:jc w:val="both"/>
      </w:pPr>
      <w:r>
        <w:t>- Aquellos alumnos que pierdan la evaluación continua se les aplicará una prueba única que contenga los principales contenidos impartidos a lo largo del curso.</w:t>
      </w:r>
    </w:p>
    <w:p w14:paraId="0F4E282F" w14:textId="77777777" w:rsidR="00644A4C" w:rsidRDefault="00644A4C" w:rsidP="00380CB7">
      <w:pPr>
        <w:jc w:val="both"/>
      </w:pPr>
    </w:p>
    <w:p w14:paraId="44685E4D" w14:textId="77777777" w:rsidR="00644A4C" w:rsidRPr="00644A4C" w:rsidRDefault="00644A4C" w:rsidP="00380CB7">
      <w:pPr>
        <w:jc w:val="both"/>
        <w:rPr>
          <w:rFonts w:asciiTheme="majorHAnsi" w:eastAsiaTheme="majorEastAsia" w:hAnsiTheme="majorHAnsi" w:cstheme="majorBidi"/>
          <w:b/>
          <w:bCs/>
          <w:sz w:val="24"/>
          <w:szCs w:val="28"/>
        </w:rPr>
      </w:pPr>
      <w:r w:rsidRPr="00644A4C">
        <w:rPr>
          <w:rFonts w:asciiTheme="majorHAnsi" w:eastAsiaTheme="majorEastAsia" w:hAnsiTheme="majorHAnsi" w:cstheme="majorBidi"/>
          <w:b/>
          <w:bCs/>
          <w:sz w:val="24"/>
          <w:szCs w:val="28"/>
        </w:rPr>
        <w:t>Estructura y criterios de calificación de las pruebas extraordinarias</w:t>
      </w:r>
    </w:p>
    <w:p w14:paraId="72F697E5" w14:textId="19614A5E" w:rsidR="00644A4C" w:rsidRDefault="00644A4C" w:rsidP="00380CB7">
      <w:pPr>
        <w:jc w:val="both"/>
      </w:pPr>
      <w:r>
        <w:t>Realizarán fichas complementarias que refuercen los contenidos no superados.</w:t>
      </w:r>
    </w:p>
    <w:p w14:paraId="792E29EB" w14:textId="65E5DD58" w:rsidR="00644A4C" w:rsidRDefault="00644A4C" w:rsidP="00380CB7">
      <w:pPr>
        <w:jc w:val="both"/>
      </w:pPr>
      <w:r>
        <w:t>Cada evaluación tendrá su recuperación. Se llevar</w:t>
      </w:r>
      <w:r w:rsidR="00EA4207">
        <w:t>á</w:t>
      </w:r>
      <w:r>
        <w:t>n a cabo a final de curso. Las actividades de recuperación podrán ser pruebas escritas/o actividades o trabajos fijados por el profesor. Los alumnos que no superen las recuperaciones realizarán un examen final de curso en mayo.</w:t>
      </w:r>
    </w:p>
    <w:p w14:paraId="7B0B14C7" w14:textId="77777777" w:rsidR="00644A4C" w:rsidRDefault="00644A4C" w:rsidP="00380CB7">
      <w:pPr>
        <w:jc w:val="both"/>
      </w:pPr>
      <w:r>
        <w:t>Existirá un examen final extraordinario en junio para aquellos alumnos que no hayan conseguido los objetivos previstos en esta programación.</w:t>
      </w:r>
    </w:p>
    <w:p w14:paraId="73291299" w14:textId="77777777" w:rsidR="00644A4C" w:rsidRDefault="00644A4C" w:rsidP="00380CB7">
      <w:pPr>
        <w:jc w:val="both"/>
      </w:pPr>
      <w:r>
        <w:lastRenderedPageBreak/>
        <w:t>Los alumnos que se incorporen al segundo curso del programa con materias pendientes de primero incluidas en el programa deberán recuperarlas.</w:t>
      </w:r>
    </w:p>
    <w:p w14:paraId="09BB5E9D" w14:textId="7B134AB2" w:rsidR="00644A4C" w:rsidRDefault="00644A4C" w:rsidP="00380CB7">
      <w:pPr>
        <w:jc w:val="both"/>
      </w:pPr>
      <w:r>
        <w:t>Existirá un examen final extraordinario en el mes de junio para aquellos alumnos que no hayan conseguido los objetivos previstos en esta programación para Ciencias Aplicadas.  Dicha prueba estará compuesta por ejercicios donde el alumno demuestre su destreza y dominio de los criterios de evaluación mínimos exigibles.</w:t>
      </w:r>
    </w:p>
    <w:p w14:paraId="74295738" w14:textId="77777777" w:rsidR="00306C04" w:rsidRDefault="00644A4C" w:rsidP="00380CB7">
      <w:pPr>
        <w:jc w:val="both"/>
      </w:pPr>
      <w:r>
        <w:t>Dicha prueba estará compuesta de 10 ítems que recojan los contenidos mínimos no superados.</w:t>
      </w:r>
    </w:p>
    <w:p w14:paraId="7103E34C" w14:textId="77777777" w:rsidR="00644A4C" w:rsidRDefault="00306C04" w:rsidP="00380CB7">
      <w:pPr>
        <w:jc w:val="both"/>
        <w:rPr>
          <w:rFonts w:asciiTheme="majorHAnsi" w:eastAsiaTheme="majorEastAsia" w:hAnsiTheme="majorHAnsi" w:cstheme="majorBidi"/>
          <w:b/>
          <w:bCs/>
          <w:sz w:val="24"/>
          <w:szCs w:val="28"/>
        </w:rPr>
      </w:pPr>
      <w:r w:rsidRPr="00306C04">
        <w:rPr>
          <w:rFonts w:asciiTheme="majorHAnsi" w:eastAsiaTheme="majorEastAsia" w:hAnsiTheme="majorHAnsi" w:cstheme="majorBidi"/>
          <w:b/>
          <w:bCs/>
          <w:sz w:val="24"/>
          <w:szCs w:val="28"/>
        </w:rPr>
        <w:t>Orientaciones, actividades de recuperación y apoyos para los alumnos con la materia pendiente</w:t>
      </w:r>
      <w:r>
        <w:rPr>
          <w:rFonts w:asciiTheme="majorHAnsi" w:eastAsiaTheme="majorEastAsia" w:hAnsiTheme="majorHAnsi" w:cstheme="majorBidi"/>
          <w:b/>
          <w:bCs/>
          <w:sz w:val="24"/>
          <w:szCs w:val="28"/>
        </w:rPr>
        <w:t>:</w:t>
      </w:r>
    </w:p>
    <w:p w14:paraId="3D33C070" w14:textId="77777777" w:rsidR="00306C04" w:rsidRDefault="00306C04" w:rsidP="00380CB7">
      <w:pPr>
        <w:jc w:val="both"/>
      </w:pPr>
      <w:r w:rsidRPr="00306C04">
        <w:t>Aquellos</w:t>
      </w:r>
      <w:r>
        <w:t xml:space="preserve"> alumnos de segundo curso con la materia de primero suspensa realizarán fichas a lo largo del curso que refuercen los contenidos.</w:t>
      </w:r>
    </w:p>
    <w:p w14:paraId="056A5CD6" w14:textId="77777777" w:rsidR="00306C04" w:rsidRDefault="00306C04" w:rsidP="00380CB7">
      <w:pPr>
        <w:jc w:val="both"/>
      </w:pPr>
      <w:r>
        <w:t>Las actividades de recuperación podrán ser pruebas escritas o actividades/trabajos fijados por el profesor.</w:t>
      </w:r>
    </w:p>
    <w:p w14:paraId="5C78308B" w14:textId="1169590F" w:rsidR="00306C04" w:rsidRDefault="00306C04" w:rsidP="00380CB7">
      <w:pPr>
        <w:jc w:val="both"/>
      </w:pPr>
      <w:r>
        <w:t>Para la parte de matemáticas, podrán entregar los ejercicios de</w:t>
      </w:r>
      <w:r w:rsidR="00392918">
        <w:t xml:space="preserve"> ONMAT</w:t>
      </w:r>
      <w:r>
        <w:t xml:space="preserve"> de primer curso y tendrán superada esta parte.</w:t>
      </w:r>
    </w:p>
    <w:p w14:paraId="09EB242F" w14:textId="77777777" w:rsidR="00306C04" w:rsidRPr="00306C04" w:rsidRDefault="00306C04" w:rsidP="00380CB7">
      <w:pPr>
        <w:jc w:val="both"/>
      </w:pPr>
      <w:r>
        <w:t>Si no consiguen superar los exámenes y pruebas que se van planteando, existirá un examen final extraordinario en junio para aquellos alumnos que no hayan conseguido los objetivos previstos en la programación.</w:t>
      </w:r>
    </w:p>
    <w:p w14:paraId="1CD7D0D4" w14:textId="77777777" w:rsidR="00306C04" w:rsidRPr="00306C04" w:rsidRDefault="00306C04" w:rsidP="00644A4C">
      <w:pPr>
        <w:rPr>
          <w:rFonts w:asciiTheme="majorHAnsi" w:eastAsiaTheme="majorEastAsia" w:hAnsiTheme="majorHAnsi" w:cstheme="majorBidi"/>
          <w:b/>
          <w:bCs/>
          <w:sz w:val="24"/>
          <w:szCs w:val="28"/>
        </w:rPr>
      </w:pPr>
    </w:p>
    <w:p w14:paraId="1E731FDF" w14:textId="77777777" w:rsidR="00A27D10" w:rsidRDefault="00A27D10"/>
    <w:sectPr w:rsidR="00A27D10" w:rsidSect="00A27D1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23F63A32"/>
    <w:multiLevelType w:val="hybridMultilevel"/>
    <w:tmpl w:val="3210FD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38230856">
    <w:abstractNumId w:val="0"/>
  </w:num>
  <w:num w:numId="2" w16cid:durableId="1738279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E0F"/>
    <w:rsid w:val="00276999"/>
    <w:rsid w:val="002A3BE6"/>
    <w:rsid w:val="002B26E4"/>
    <w:rsid w:val="00306C04"/>
    <w:rsid w:val="00313BE5"/>
    <w:rsid w:val="00380CB7"/>
    <w:rsid w:val="00392918"/>
    <w:rsid w:val="003E242B"/>
    <w:rsid w:val="00416D77"/>
    <w:rsid w:val="00526822"/>
    <w:rsid w:val="005F2E30"/>
    <w:rsid w:val="006345C4"/>
    <w:rsid w:val="00635DC0"/>
    <w:rsid w:val="00644A4C"/>
    <w:rsid w:val="0065657B"/>
    <w:rsid w:val="007E2F52"/>
    <w:rsid w:val="00A27D10"/>
    <w:rsid w:val="00AC35C2"/>
    <w:rsid w:val="00BF0E0F"/>
    <w:rsid w:val="00C12FA4"/>
    <w:rsid w:val="00C71CC3"/>
    <w:rsid w:val="00CC5EBA"/>
    <w:rsid w:val="00CD1078"/>
    <w:rsid w:val="00D35796"/>
    <w:rsid w:val="00D83E31"/>
    <w:rsid w:val="00DC7367"/>
    <w:rsid w:val="00EA4207"/>
    <w:rsid w:val="00ED7F27"/>
    <w:rsid w:val="00F81B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E4BB0"/>
  <w15:docId w15:val="{DA180ACA-D2D0-424C-AED7-11E1CB10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0F"/>
    <w:pPr>
      <w:suppressAutoHyphens/>
      <w:spacing w:after="160" w:line="259" w:lineRule="auto"/>
    </w:pPr>
    <w:rPr>
      <w:rFonts w:ascii="Calibri" w:eastAsia="Lucida Sans Unicode" w:hAnsi="Calibri" w:cs="Times New Roman"/>
      <w:kern w:val="1"/>
      <w:lang w:eastAsia="ar-SA"/>
    </w:rPr>
  </w:style>
  <w:style w:type="paragraph" w:styleId="Ttulo1">
    <w:name w:val="heading 1"/>
    <w:basedOn w:val="Normal"/>
    <w:next w:val="Normal"/>
    <w:link w:val="Ttulo1Car"/>
    <w:uiPriority w:val="9"/>
    <w:qFormat/>
    <w:rsid w:val="00D83E31"/>
    <w:pPr>
      <w:keepNext/>
      <w:keepLines/>
      <w:spacing w:before="480" w:after="0"/>
      <w:outlineLvl w:val="0"/>
    </w:pPr>
    <w:rPr>
      <w:rFonts w:asciiTheme="majorHAnsi" w:eastAsiaTheme="majorEastAsia" w:hAnsiTheme="majorHAnsi" w:cstheme="majorBidi"/>
      <w:b/>
      <w:bCs/>
      <w:color w:val="E800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rafodelista1">
    <w:name w:val="Párrafo de lista1"/>
    <w:basedOn w:val="Normal"/>
    <w:rsid w:val="00BF0E0F"/>
    <w:pPr>
      <w:ind w:left="720"/>
    </w:pPr>
  </w:style>
  <w:style w:type="character" w:customStyle="1" w:styleId="Ttulo1Car">
    <w:name w:val="Título 1 Car"/>
    <w:basedOn w:val="Fuentedeprrafopredeter"/>
    <w:link w:val="Ttulo1"/>
    <w:uiPriority w:val="9"/>
    <w:rsid w:val="00D83E31"/>
    <w:rPr>
      <w:rFonts w:asciiTheme="majorHAnsi" w:eastAsiaTheme="majorEastAsia" w:hAnsiTheme="majorHAnsi" w:cstheme="majorBidi"/>
      <w:b/>
      <w:bCs/>
      <w:color w:val="E80061" w:themeColor="accent1" w:themeShade="BF"/>
      <w:kern w:val="1"/>
      <w:sz w:val="28"/>
      <w:szCs w:val="28"/>
      <w:lang w:eastAsia="ar-SA"/>
    </w:rPr>
  </w:style>
  <w:style w:type="paragraph" w:styleId="Prrafodelista">
    <w:name w:val="List Paragraph"/>
    <w:basedOn w:val="Normal"/>
    <w:uiPriority w:val="34"/>
    <w:qFormat/>
    <w:rsid w:val="00D83E31"/>
    <w:pPr>
      <w:ind w:left="720"/>
      <w:contextualSpacing/>
    </w:pPr>
  </w:style>
  <w:style w:type="character" w:styleId="Hipervnculo">
    <w:name w:val="Hyperlink"/>
    <w:basedOn w:val="Fuentedeprrafopredeter"/>
    <w:uiPriority w:val="99"/>
    <w:unhideWhenUsed/>
    <w:rsid w:val="00D83E31"/>
    <w:rPr>
      <w:color w:val="17BBFD" w:themeColor="hyperlink"/>
      <w:u w:val="single"/>
    </w:rPr>
  </w:style>
  <w:style w:type="table" w:styleId="Tablaconcuadrcula">
    <w:name w:val="Table Grid"/>
    <w:basedOn w:val="Tablanormal"/>
    <w:uiPriority w:val="39"/>
    <w:rsid w:val="00D83E31"/>
    <w:pPr>
      <w:spacing w:after="0" w:line="240" w:lineRule="auto"/>
    </w:pPr>
    <w:rPr>
      <w:rFonts w:ascii="Times New Roman" w:eastAsia="Times New Roman" w:hAnsi="Times New Roman" w:cs="Times New Roman"/>
      <w:sz w:val="20"/>
      <w:szCs w:val="20"/>
      <w:lang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río">
  <a:themeElements>
    <a:clrScheme name="Brío">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Brío">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Brío">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1745</Words>
  <Characters>9601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Orientación 1</dc:creator>
  <cp:lastModifiedBy>alumno</cp:lastModifiedBy>
  <cp:revision>4</cp:revision>
  <dcterms:created xsi:type="dcterms:W3CDTF">2025-10-18T22:12:00Z</dcterms:created>
  <dcterms:modified xsi:type="dcterms:W3CDTF">2025-10-19T16:42:00Z</dcterms:modified>
</cp:coreProperties>
</file>